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16.04.2021 в удовлетворении первоначального иска отказано, встречный иск удовлетворен в заявленном размере. Девятый арбитражный апелляционный суд перешел к рассмотрению дела по правилам для суда первой инстанции и постановлением от 17.12.2021 отменил решение от 16.04.2021 и в удовлетворении первоначального иска отказал, встречный иск удовлетворил в заявленном размере. Арбитражный суд Московского округа постановлением от 02.03.2022 постановление апелляционного суда от 17.12.2021 оставил без изменения. 2 В кассационной жалобе агентство опросит об отмене судебных актов апелляционного и окружного судов, ссылаясь на отсутствие ответственности на за хищение не принадлежащего заказчику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возникновения убытков, апелляционный суд установил наличие необходимых в силу статей 15, 393 Гражданского кодекса Российской Федерации условий для взыскания убытков вследствие хищения имущества с объекта, сданного под охрану на основании договора от 01.03.2019 № 72/ЭС/2019.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Агентство «Статус»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