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13.10.2021, оставленным без изменения постановлением Тринадцатого арбитражного апелляционного суда от 25.01.2022 и постановлением Арбитражного суда Северо-Западного округа от 22.04.2022, в удовлетворении иска отказано.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иска, суды первой и апелляционной инстанций, с выводами которых впоследствии согласился суд округа, руководствуясь статьями 1, 11, 12, 1102, 1105 Гражданского кодекса Российской Федерации, исследовав и оценив представленные в материалы дела доказательства по правилам статьи 71 Арбитражного процессуального кодекса Российской Федерации, принимая во внимание обстоятельства, установленные вступившим в законную силу судебным актом по делу № А56-18783/2019, исходили из недоказанности обществом наличия на стороне компании неосновательного обогащения в заявленном размере.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«Оазис-Групп»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