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города Москвы от 20.08.2021 утверждено Положение о порядке, об условиях и о сроках реализации имущества должника в редакции финансового управляющего, в удовлетворении требований должника отказано. Девятый арбитражный апелляционный суд постановлением от 09.12.2021 отменил определение от 20.08.2021 в части утверждения Положения о порядке, об условиях и о сроках реализации имущества должника и отказал в его утверждении, в остальной части определение оставил без изменения. Арбитражный суд Московского округа постановлением от 22.02.2022 постановление апелляционного суда от 09.12.2021 оставил без изменения. В кассационной жалобе Степанов А.В. просит об отмене судебных актов в части отказа в исключении из конкурсной массы доли в квартире, ссылаясь на отсутствие оценки его действий в процессе банкротства.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 в применении исполнительского иммунитета связан с оценкой судами действий должника в отношении жилых помещений как нарушающих пределы осуществления гражданских прав, соответствующей статье 10 Гражданского кодекса Российской Федерации, статье 446 Гражданского кодекса Российской Федерации, постановлению Конституционного Суда Российской Федерации от 26.04.2021 № 15-П.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Степанову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