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Рязанской области от 18.10.2021, оставленным без изменения постановлением Двадцатого арбитражного апелляционного суда от 24.12.2021 и постановлением Арбитражного суда Центрального округа от 11.03.2022, из конкурсной массы исключены денежные средства в размере величины прожиточного минимума, установленного для трудоспособного населения в г. Москве, начиная с 24.08.2021 и в течение процедуры реализации имущества должника. В кассационной жалобе Панкратов А.С. просит об отмене судебных актов, ссылаясь на игнорирование недобросовестности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Исключение из конкурсной массы суммы, соответствующей величине прожиточного минимума, предусмотрено статьей 446 Гражданского процессуального кодекса Российской Федерации, статьей 213.25 Федерального закона от 26.10.2002 № 127-ФЗ «О несостоятельности (банкротстве)» и их судебным толкованием.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Панкратову А.С.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