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30.06.2021, оставленным без изменения постановлением Девятого арбитражного апелляционного суда от 24.12.2021 и постановлением Арбитражного суда Московского округа от 10.03.2022, в удовлетворении первоначального иска отказано, встречный иск удовлетворен. В кассационной жалобе общество «ВЕЗУ.РУ» просит об отмене судебных актов, ссылаясь на игнорирование неравноценности для сторон условий 2 договоров и неосновательное принятие основанного на них расчета встречного иска, на подачу которого отсутствовали полномочия.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основания для частичного признания недействительным договоров лизинга и соответствие составленного на основании договоров расчета встречных требований. Доводы заявителя оценены независимо от ссылок на Обзор практики Верховного суда Российской Федерации от 27.10.2021 и признаны необоснованными, учитывая возникновение возражений только после нарушения условий договоров. Участие представителя ответчика в судебных заседаниях всех инстанций и поддержка им встречного иска указывает на наличие полномочий на предъявление иска.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«ВЕЗУ.РУ»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