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04.10.2021, оставленным без изменения постановлением Семнадцатого арбитражного апелляционного суда от 24.12.2021 и постановлением Арбитражного суда Уральского округа от 21.03.2022,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исковое требование мотивировано неполным возмещением недополученных доходов перевозчика (стоимости поездок по неактивным проездным и сверх установленного лимита) в связи с предоставлением льгот при осуществлении пассажирских перевозок по муниципальным маршрутам в период с июля 2017 года по март 2019 года. Отказывая в удовлетворении иска, суды трех инстанций, руководствуясь положениями статей 15 , 16 , 786 , 789 , 790 , 1069 , 1071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Порядком предоставления дополнительной меры социальной поддержки для отдельных категорий граждан, постоянно или преимущественно проживающих в городе Перми, в виде права на приобретение льготного проездного документа для проезда по муниципальным маршрутам регулярных перевозок города Перми по регулируемым тарифам, Порядком предоставления субсидий на возмещение недополученных доходов хозяйствующим субъектам, осуществляющим пассажирские перевозки по маршрутам регулярных перевозок города Перми отдельных категорий граждан с использованием льготных проездных документов, Правилами технологического присоединения и информационного обмена данных в информационной системе учета пассажиропотока на муниципальных маршрутах регулярных перевозок города Перми, утвержденными постановлениями администрации города Перми от 30.09.2016 № 752, от 13.02.2014 № 87, от 18.01.2017 № 39 соответственно, с учетом изменений, внесенных постановлением от 28.05.2019 № 222, принимая во внимание обстоятельства, установленные вступившими в законную силу судебными актами по делам № А50-24300/2018 и № А50-39420/2018, пришли к выводу о недоказанности причинно-следственной связи между действиями учреждения и возникновением убытков у общества. Судебные инстанции указали, что обязанность по обеспечению информационного взаимодействия (синхронизации) программного обеспечения систем перевозчика и оператора льготных проездных документов возникла у учреждения после утверждения мирового соглашения между сторонами и издания соответствующих нормативных актов; до указанного времени нормативно установленной обязанности по обеспечению информационного взаимодействия программного обеспечения у ответчика не существовало. Доводы, изложенные в кассационной жалобе, повторяют позицию общества по спору, были предметом рассмотрения судов и получили надлежащую правовую оценку с учетом установленных обстоятельств дела. Несогласие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"Транзит" (подробнее) Ответчики: МУНИЦИПАЛЬНОЕ КАЗЕННОЕ УЧРЕЖДЕНИЕ "ГОРОДСКОЕ УПРАВЛЕНИЕ ТРАНСПОРТА"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