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дела решением Арбитражного суда Ханты-Мансийского автономного округа – Югры от 26.08.2021, оставленным без изменения постановлением Восьмого арбитражного апелляционного суда от 02.12.2021 и постановлением Арбитражного суда Западно-Сибирского округа от 15.03.2022, в удовлетворении требования предпринимателя в части признания недействительным решения инспекции относительно выводов о 2 необоснованности применения налогоплательщиком патентной системы налогообложения по виду деятельности «Ремонт жилья и других построек» в отношении дохода в сумме 4 750 000 рублей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в указанной части и удовлетворить требование.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предпринимателя проведена выездная налоговая проверка и дополнительные мероприятия налогового контроля, по результатам которых принято решение о привлечении к налоговой ответственности. Данным решением предпринимателю предложено уплатить недоимку по налогу на добавленную стоимость (далее – НДС) за 3, 4 кварталы 2015 года в сумме 8 154 359 рублей, по налогу на доходы физических лиц (далее – НДФЛ) за 2015 год в сумме 4 037 128 рублей, штраф по пункту 1 статьи 122 Налогового кодекса Российской Федерации (далее – Налоговый кодекс) за несвоевременную уплату НДФЛ в размере 403 713 рублей и 4 040 571 рубль 90 копеек пени. Основанием для доначисления НДС, НДФЛ, соответствующих сумм пени и штрафа послужил вывод инспекции о неправомерном применении предпринимателем патентной системы в отношении вида деятельности «Ремонт жилья и других построек» при фактическом выполнении строительных работ. Признавая законным решение инспекции в части выводов о неправомерном применении патентной системы налогообложения в отношении дохода в сумме 4 750 000 рублей, полученного по договорам подряда от 28.05.2015 № 1 и от 28.07.2015 № 3, суды трех инстанций, руководствуясь положениями статьи 346.43 Налогового кодекса, статьи 1 Градостроительного кодекса Российской Федерации, Государственным стандартом ГОСТ Р 52059-2003 «Услуги бытовые. Услуги по ремонту и строительству жилья и других построек. Общие технические условия», утвержденным постановлением Госстандарта России от 28.05.2003 № 162-ст, пришли к выводу об осуществлении на объектах не ремонтных, а строительных отделочных работ, которые не подлежат налогообложению в рамках полученного заявителем патента. Судебные инстанции учли, что после получения разрешения на ввод в эксплуатацию и до осуществления ремонта предпринимателем объекты в эксплуатации не были; при выполнении работ какие-либо эксплуатационные характеристики объектов заявителем не восстанавливались, а создавались. Произведенный инспекцией расчет налоговых обязательств по общей системе налогообложения судами проверен и признан правильным. Доводы, изложенные в кассационной жалобе, в том числе со ссылкой на пункт 20 Обзора практики рассмотрения судами дел, связанных с 3 применением глав 26.2 и 26.5 Налогового кодекса Российской Федерации в отношении субъектов малого и среднего предпринимательства, утвержденного Президиумом Верховного Суда Российской Федерации 04.07.2018, являлись предметом рассмотрения судов и получили надлежащую правовую оценку. Приведенные доводы не опровергают выводы судов, не подтверждают существенных нарушений норм материального и норм процессуального права, повлиявших на исход дела, по сути, выражают несогласие с установленными судами фактическими обстоятельствами спора и основаны на ином толковании применительно к ним положений законодательства, в связи с чем не могут служить основанием для отмены судебных актов в кассационном порядке. При таких обстоятельствах,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Свинкину Алексею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