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29.09.2021, оставленным без изменения постановлением Третьего арбитражного апелляционного суда от 26.01.2022 и постановлением Арбитражного суда Восточно-Сибирского округа от 20.04.2022,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проведена внеплановая выездная проверка общества по вопросу соблюдения обязательных требований к муниципальному жилищному фонду. В ходе проверки установлено нарушение обществом требований пункта 18 Минимального перечня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 (далее – Перечень № 290), пункта 5.2.1 Правил и норм технической эксплуатации жилищного фонда, утвержденных постановлением Госстроя России от 27.09.2003 № 170 (далее – Правила № 170), выразившееся в установлении на стояках отопления в качестве отопительных приборов секционных алюминиевых радиаторов с односторонним подключением 3-7 секций, что не соответствует проектной документации. В целях устранения нарушений выдано предписание, которое оспорено обществом в арбитражный суд. Оценив представленные в материалы дела доказательства, суды трех инстанций, руководствуясь положениями статьи 161 Жилищного кодекса Российской Федерации, Правилами осуществления деятельности по управлению многоквартирными домами и Правилами содержания общего имущества в многоквартирном доме, утвержденными постановлениями Правительства Российской Федерации от 15.05.2013 № 416 и от 13.08.2006 № 491 соответственно, пришли к выводу о законности оспариваемого предписания и отсутствии нарушения прав и законных интересов общества. Судебные инстанции указали, что отопительные приборы включены в состав общего имущества многоквартирного дома, в связи с чем именно на заявителе как лице, которое осуществляет управление многоквартирным домом, лежит обязанность по соблюдению требований пункта 18 Перечня № 290 и пункта 5.2.1 Правил № 170 в части выполнения работ по надлежащему содержанию и ремонту общего имущества в таком доме, обеспечения готовности инженерных систем. 3 При этом общество в ходе проведения сезонного осмотра перед началом отопительного сезона должно было выявить факт замены отопительных приборов на непроектные радиаторы и принять меры по устранению нарушений. Доводы, изложенные в кассационной жалобе, в том числе о необходимости возложения обязанности по устранению нарушений на собственника помещения, сводятся к повторению позиции общества по спору, были предметом рассмотрения судов и получили надлежащую правовую оценку с учетом установленных обстоятельств дела. Несогласие общества с выводами судов, иная оценка им фактических обстоятельств дела и иное применение к ним положений закона не означают допущенной при рассмотрении дела судебной ошибки. Приведенные доводы не опровергают выводы судов,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«Талнахбыт»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