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взыскании с акционерного общества «Центр инжиниринга и управления строительством Единой энергетической системы» в пользу должника 1 860 990 рублей 58 копеек убытков, установлении и взыскании 18 609 рублей 90 копеек судебной неустойки за каждый день просрочки исполнения судебного акта. Определением Арбитражного суда Краснодарского края от 27.10.2021, оставленным без изменения постановлениями Пятнадцатого арбитражного апелляционного суда от 15.12.2021 и Арбитражного суда Северо-Кавказского округа от 24.03.2022, заявление оставлено без рассмотрения.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Краснодарского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рассмотрения, суд первой инстанции, руководствуясь положениями статьи 148 Арбитражного процессуального кодекса российской Федерации, статьи 60 Федерального закона от 26.10.2002 № 127-ФЗ «О несостоятельности (банкротстве)», исходил из того, что требования компании к кредитору должника не подлежат рассмотрению в рамках настоящего дела о банкротстве.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и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Харсбург Инвестментс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