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взыскании с конкурсного управляющего должником Бирюкова Александра Сергеевича убытков в размере 3 112 954 рубля 05 копеек. Определением Арбитражного суда города Москвы от 19.08.2021, оставленным без изменения постановлением Девятого арбитражного апелляционного суда от 11.11.2021, заявление удовлетворено. Постановлением Арбитражного суда Московского округа от 01.03.2022 данные судебные акты отменены,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спору судебные акты, суд округа, руководствуясь положениями статьи 15 Гражданского кодекса Российской Федерации, статей 20.3, 110, 129 Федерального закона от 26.10.2002 № 127-ФЗ «О несостоятельности (банкротстве)», пунктом 48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исходил из того, что для принятия обоснованного и законного судебного акта требуется исследование и оценка всех доказательств, доводов и возражений, совершение иных процессуальных действий, связанных с рассмотрением вопроса о привлечении к участию в деле именно той организации, к которой в случае обоснованности требования общество имеет право обратится с заявлением о страховой выплате. При таких условиях суд округа направил обособленный спор на новое рассмотрение в суд первой инстанции.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материального и (или) норм процессуального права, которые бы повлияли на исход судебного разбирательства, судом округа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«Сектор»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