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«Москапстрой» (далее – общество) обратилось в суд с заявлением о включении в реестр требований кредиторов должника требования в размере 14 112 243 рублей, основанном на договоре займа. Определением Арбитражного суда города Москвы от 14.03.2019, оставленным без изменения постановлениями Девятого арбитражного апелляционного суда от 27.05.2019 и Арбитражного суда Московского округа от 07.08.2019, требования признаны обоснованными и включены в третью очередь реестра требований кредиторов должника.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обоснованность требований,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 170 , 807 и 808 Гражданского кодекса Российской Федерации, статей 71 и 100 Федерального закона от 26.10.2002 № 127-ФЗ «О несостоятельности (банкротстве)», исходили из реальности договорных отношений между обществом и должником, наличия и размера задолженности, указав на непредставление доказательств погашения долга и наличия признаков неплатежеспособности должника в момент заключения с обществом договора займа.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 заявителя о заинтересованности должника и общества был предметом рассмотрения судов и получил надлежащую правовую оценку, отклонён как несостоятельный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«РСК»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