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16.12.2020 в удовлетворении заявления отказано. Шестой арбитражный апелляционный суд перешел к рассмотрению дела по правилам для суда первой инстанции и постановлением от 21.10.2021 отменил определение от 16.12.2020 и удовлетворил заявление. Постановлением Арбитражного суда Дальневосточного округа от 13.12.2021 постановление апелляционного суда от 21.10.2021 отменено, в удовлетворении заявления отказано. В кассационных жалобах Сурковы Т.В., М.В. и Лукашова Н.И. просят об отмене постановления окружного суда, ссылаясь на игнорирование отсутствия у них другого пригодного для проживания жилого помещения и неправомерный отказ в защите материального права за недобросовестное процессуальное поведение.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спорная квартира не являлась и не является для должника, супруга и матери должника (подателей жалоб) единственным пригодным для проживания жилым помещением, а также усмотрели в сделках должника с находившимися в собственности жилыми помещениями препятствующее защите нарушение пределов осуществления гражданских прав, поэтому признали квартиру не защищенной от обращения взыскания по долгам в силу статьи 446 Гражданского процессуального кодекса Российской Федерации, статьи 10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Сурковой Татьяне Викторовне, Суркову Михаилу Васильевичу и Лукашовой Надежде Ивановны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