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23 июня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кассационная жалоба подана в Верховный Суд Российской Федерации 21.06.2022 с ходатайством о восстановлении срока на обжалование. Суд счел ходатайство подлежащим удовлетворению. Руководствуясь статьей 184, статьей 291.2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восстановить Рехвиашвили Розе Евгеновне срок подачи кассационной жалобы на определение Арбитражного суда города Москвы от 01.07.2021, постановление Девятого арбитражного апелляционного суда от 08.09.2021 и постановление Арбитражного суда Московского округа от 21.12.2021 по делу № А40-210983/2020.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