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23 июня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01.09.2021, оставленным без изменения постановлением Девятого арбитражного апелляционного суда от 23.11.2021 и постановлением Арбитражного суда Московского округа от 28.02.2022, в удовлетворении иска отказано. 2 В кассационной жалобе, поданной в Верховный Суд Российской Федерации, общество, ссылаясь на неправильное применение судами норм права, просит отменить указанные судебные акты и направить дело на новое рассмотрение в Арбитражный суд города Москвы.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принятых по делу судебных актов и доводов кассационной жалобы не установлено. Отказывая в удовлетворении иска, суды первой и апелляционной инстанций, с выводами которых впоследствии согласился суд округа, исследовав и оценив представленные в материалы дела доказательства по правилам статьи 71 Арбитражного процессуального кодекса Российской Федерации, руководствуясь статьями 10, 15, 393 Гражданского кодекса Российской Федерации, исходили из недоказанности обществом совокупности обстоятельств, необходимых для привлечения предприятия к гражданско-правовой ответственности в виде взыскания убытков. Изложенные в кассационной жалобе доводы были предметом рассмотрения судов и получили правовую оценку, не опровергают выводы судов, не подтверждают существенных нарушений судами норм материального и процессуального права, повлиявших на исход дела, и в силу статьи 291.6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«Центр научно-технических услуг «Динамика»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