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04.10.2021, оставленным без изменения постановлением Двадцать первого арбитражного апелляционного суда от 17.12.2021 и постановлением Арбитражного суда Центрального округа от 24.03.2022, исковое заявление удовлетворено.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При изучении доводов кассационной жалобы не установлено оснований, по которым кассационная жалоба может быть передана для рассмотрения в 2 судебном заседании Судебной коллегии по экономическим спорам Верховного Суда Российской Федерации. Как следует из судебных актов, в антимонопольный орган поступила жалоба ООО «Параллель» на действия предприятия при выборе способа закупки у единственного поставщика, по результатам проверки вынесено решение по делу № 082/07/18.1-1372/2020 и выдано предписание отменить (аннулировать) проведение закупки. Решением Арбитражного суда Республики Крым от 05.02.2021 по делу № А83-13785/2020, оставленным без изменения постановлением Двадцать первого арбитражного апелляционного суда от 30.04.2021 и постановлением Арбитражного суда Центрального округа от 01.09.2021, ненормативные правовые акты антимонопольного органа признаны законными. Указанные обстоятельства послужили основанием для обращения управления в суд с иском. Рассматривая спор, суды первой и апелляционной инстанций, руководствуясь положениями Гражданского кодекса Российской Федерации, Федерального закона от 26.07.2006 № 135-ФЗ «О защите конкуренции», Федерального закона от 18.11.2011 № 223-ФЗ «О закупках товаров, работ, услуг отдельными видами юридических лиц», пришли к выводу о наличии оснований для удовлетворения иска, с чем согласился суд округа. Судебные инстанции исходили из установленных в рамках дела № А83-13785/2020 и имеющих преюдициальное значение для правильного рассмотрения настоящего спора обстоятельств нарушения предприятием положений антимонопольного законодательства при проведении закупки у единственного поставщика, в связи с чем признали недействительным договор оказания услуг, заключенный предприятием и обществом, применив последствия недействительности сделки. Доводы, изложенные в жалобе, являлись предметом рассмотрения судов, не подтверждают существенных нарушений норм материального и процессуального права, выражают несогласие с установленными судами фактическими обстоятельствами спора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градостроительного планирования»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