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29.09.2021, оставленным без изменения постановлениями Шестого арбитражного апелляционного суда от 18.11.2021 и Арбитражного суда Дальневосточного округа от 05.03.2022,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судами норм права.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2 экономическим спорам Верховного Суда Российской Федерации. Как усматривается из судебных актов, учреждением (заказчик) и обществом (подрядчик) заключен контракт на выполнение работ по строительству объекта капитального строительства «Крытый футбольный манеж в г. Хабаровске». В обоснование иска общество ссылается на то, что заказчиком не представлена необходимая для выполнения работ рабочая документация, а переданная документация имеет недостатки. Оценив представленные в материалы дела доказательства, суды, руководствуясь положениями статей 702, 716, 719, 743, 763 Гражданского кодекса Российской Федерации (далее - Гражданский кодекс), пришли к выводу об отсутствии оснований для удовлетворения иска. Судебные инстанции исходили из того, что нормами главы 37 Гражданского кодекса предусмотрены специальные способы защиты прав подрядчика в случае неисполнения или ненадлежащего исполнения заказчиком своих обязанностей по предоставлению необходимой документации (статьи 716, 719, 743 Гражданского кодекса). При исследовании обстоятельств дела установлено, что подрядчик, при наличии нарушения заказчиком своих обязанностей по контракту, от контракта не отказывался, работы не приостанавливал; злоупотребления правом со стороны заказчика или намерения причинить вред обществу не выявлено. Доводы, изложенные в кассационной жалобе, являлись предметом рассмотрения судов, повторяют позицию общества по спору,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«Эвриал»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