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21.09.2021, оставленным без изменения постановлениями Шестого арбитражного апелляционного суда от 06.12.2021 и Арбитражного суда Дальневосточного округа от 03.03.2022, исковое требование удовлетворено частично, с общества в пользу учреждения взыскан штраф в размере 100 000 рублей. В удовлетворении остальной части иска отказано. В кассационной жалобе, поданной в Верховный Суд Российской Федерации, учреждение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При изучении доводов кассационной жалобы и принятых по делу судебных актов не установлено оснований, по которым жалоба может быть 2 передана для рассмотрения в судебном заседании Судебной коллегии по экономическим спорам Верховного Суда Российской Федерации. Частично удовлетворяя исковое требование, суды, руководствуясь положениями статей 329, 330, 702, 721, 723, 763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исходили из неисполнения обществом предписания заказчика об устранении недостатков выполненных работ; оснований для снижения штрафа в соответствии со статьей 333 Гражданского кодекса не установили. Истолковав условия контракта в соответствии со статьей 431 Гражданского кодекса, суды признали, что требование об исполнении предписания и факт его неисполнения в установленный срок не имеет стоимостного выражения, в связи с чем к спорным правоотношениям подлежит применению пункт 10.3.5 контракта, устанавливающий сумму фиксированного штрафа за каждый случай неисполнения обязательства, предусмотренного условиями контракта. Доводы, изложенные в кассационной жалобе, повторяют позицию учреждения по спору, не опровергают выводы судов,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выражают несогласие с выводами судов по фактическим обстоятельствам дела,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управлению автомобильных дорог Амурской области «Амурупрадор»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