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России по Свердловской области обратилось в суд с жалобой на неправомерные действия внешнего управляющего должником Усенко Д.С., выразившиеся в неправомерном отнесении 3 232 платежей к четвертой очереди текущих платежей, фактически относящихся в соответствии со статьей 134 Федерального закона от 26.10.2002 № 127-ФЗ «О несостоятельности (банкротстве)» (далее - Закон о банкротстве) к пятой очереди погашения, и произведении фактического погашения таких платежей на сумму 1 026 219 079 рублей в порядке четвертой очереди текущих платежей; нарушении календарной очередности уплаты текущих платежей, относящихся к пятой очередности погашения (в частности, текущих налоговых платежей); неправомерные действия внешнего управляющего должником Кайкы Н.Д., выразившиеся в неправомерном отнесении 554 платежей к четвертой очереди текущих платежей, фактически относящихся в соответствии с Законом о 2 банкротстве к пятой очередности погашения, и произведении фактического погашения таких платежей на сумму 154 630 205 рублей в порядке четвертой очереди текущих платежей; нарушении календарной очередности уплаты текущих платежей, относящихся к пятой очередности погашения (в частности текущих налоговых платежей); обязать конкурсного управляющего должника Павлова П.В. восстановить нарушенную внешними управляющими очередность удовлетворения требований по текущим обязательным платежам. Определением Арбитражного суда Свердловской области от 16.07.2021, оставленным без изменения постановлением Семнадцатого арбитражного апелляционного суда от 28.10.2021, в удовлетворении заявленных требований отказано. Постановлением Арбитражного суда Уральского округа от 11.03.2022 названные судебные акты отменены, дело направлено на новое рассмотрение в суд первой инстанции. В кассационных жалобах, поданных в Верховный Суд Российской Федерации, заявители просят отменить постановление суда округа, ссылаясь на нарушение норм материального и процессуального права,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спор на новое рассмотрение, суд округа, руководствуясь статьёй 134 Закона о банкротстве, правовой позицией, изложенной в пункте 18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утвержденного Президиумом Верховного Суда Российской Федерации 20.12.2016, исходил из того, что судам необходимо установить обстоятельства, связанные с произведенными выплатами, их состав и объем.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судебного акта, судом округа не допущено. При новом рассмотрении заявители не лишены возможности изложить свои доводы и представить доказательства, поскольку обособленный спор 3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муниципальным унитарным предприятием «Городское управление жилищно-коммунального хозяйства» Алиуллову Рамилю Нурулловичу и акционерному обществу «ЭнергосбыТ Плюс»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