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заявитель обратилась в суд с заявлением о включении в реестр требований кредиторов должника (далее – реестр) задолженности в размере 157 152 508 рублей 43 копеек; конкурсный управляющий обратился с заявлением о признании недействительными договоров займа заключенных заявителем с должником, в части условий о процентах за пользование займом. Заявления Коркуновой Е.Е. и конкурсного управляющего объединены в одно производство для совместного рассмотрения. Определением Арбитражного суда Московской области от 15.11.2021, оставленным без изменения постановлениями Десятого арбитражного апелляционного суда от 20.01.2022 и Арбитражного суда Московского округа от 13.04.2022, заявление Коркуновой Е.Е. удовлетворено частично, требование в размере 157 152 508 рублей 43 копейки признано обоснованным и подлежащим удовлетворению после погашения требований, указанных в пункте 4 статьи 142 Федерального закона от 26.10.2002 № 127-ФЗ «О несостоятельности (банкротстве)» (далее - Закон о банкротстве), но приоритетно по отношению к требованиям лиц, получающих имущество должника по правилам пункта 1 статьи 148 Закона о банкротстве и пункта 8 статьи 63 Гражданского кодекса Российской Федерации (в очерёдности, 2 предшествующей распределению ликвидационной квоты должника); в удовлетворении заявления конкурсного управляющего отказано. В кассационной жалобе, поданной в Верховный Суд Российской Федерации, заявитель просит отменить названные судебные акты в части признания требования подлежащим удовлетворению в очередности предшествующей ликвидационной квоте, дело направить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 суды, руководствуясь статьями 71, 100, 142 Закона о банкротстве, позицией, изложенной в пунктах 3.1, 3.2 Обзора судебной практики разрешения споров, связанных с установлением в процедурах банкротства требований контролирующих должника и аффинированных с ним лиц, утвержденного Президиумом Верховного Суда Российской Федерации 29.02.2020, исходили из того, что посредством займа должник, имеющий признаки имущественного кризиса, фактически получал от заинтересованного лица компенсационное финансирование, в связи с чем пришли к выводу о необходимости понижения очерёдности удовлетворения заявленного требования.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Доводы, изложенные в настоящей жалобе, были предметом рассмотрения судов, получили надлежащую правовую оценку, отклонены как несостоятельные с подробным изложением мотивов отклонения.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Коркуновой Елене Евгеньевне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