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29.06.2021, оставленным без изменения постановлением Тринадцатого арбитражного апелляционного суда от 21.10.2021 и постановлением Арбитражного суда Северо-Западного округа от 17.02.2022, в удовлетворении заявления отказано. В кассационной жалобе Овчинникова О.А. просит об отмене судебных актов, ссылаясь на наличие у должника в пользовании другой квартиры.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спорная квартира, находящаяся в собственности должника, является для него и его семьи единственным пригодным для проживания жилым помещением, поэтому в силу статьи 446 Гражданского кодекса Российской Федерации, статьи 213.25 Федерального закона от 26.10.2002 № 127-ФЗ «О несостоятельности (банкротстве)» отказали во включении ее в конкурсную массу. Возможность использования другой квартиры для проживания не отменяет исполнительского иммунитета у находящейся в собственности должника квартиры.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Овчинниковой О.А.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