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20.07.2021, оставленным без изменения постановлением Восемнадцатого арбитражного апелляционного суда от 16.11.2021 и постановлением Арбитражного суда Уральского округа от 22.02.2022, в удовлетворении заявления отказано. В кассационной жалобе Садыков А.А. просит об отмене судебных актов, ссылаясь на недобросовестность должников и принятие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Невозможность включения имущества, составляющего предмет оспариваемой сделки, в конкурсную массу признана в силу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(банкротстве)». Доводы о злоупотреблении должников и наличии у них других жилых помещений исследованы и признаны не влияющими на исполнительский иммунитет спорного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Садыкову Айнуру Асхатовичу 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