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29.09.2021, оставленным без изменения постановлением Девятого арбитражного апелляционного суда от 01.12.2021 и постановлением Арбитражного суда Московского округа от 11.03.2022, в удовлетворении заявлений отказано в связи с истечением срока исковой давности, о применении которой заявил ответчик. В кассационной жалобе Рабинович М.Д. просит об отмене судебных актов, ссылаясь на неправильные оценку обстоятельств совершения сделок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на момент обращения в арбитражный суд срок исковой давности для оспаривания сделок, наличие которых следовало из исполнительного производства и раскрыто должником при представлении документов финансовому управляющему, истек, суды отказали в удовлетворении заявлений в соответствии со статьями 199, 200 Гражданского кодекса Российской Федерации, пунктом 2 статьи 213.32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Рабиновичу Михаилу Данииловичу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