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16.09.2021 заявление удовлетворено. Десятый арбитражный апелляционный суд постановлением от 23.12.2021 отменил определение от 16.09.2021 и в удовлетворении заявления отказал. Арбитражный суд Московского округа постановлением от 15.04.2022 постановление апелляционного суда от 23.12.2021 оставил без изменения. В кассационной жалобе Клименко Е.С. просит об отмене судебных актов апелляционного и окружного судов, ссылаясь на надлежащее исполнение кредитного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Срок исполнения должником обязательства по кредитному договору перед ПАО «Банк ВТБ» считается наступившим в силу пункта 2 статьи 213.11 Федерального закона от 26.10.2002 № 127-ФЗ «О несостоятельности (банкротстве)» и статус участника накопительно- ипотечной системы жилищного обеспечения военнослужащих не влияет на исполнение этого обязательства. Спорная квартира находится в залоге у названного банка, требования которого включены в реестр, в связи с чем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(банкротстве)», статьей 78 Федерального закона от 16.07.1998 № 102-ФЗ «Об ипотеке (залоге недвижимости)» до погашения долга не может быть исключена из конкурсной массы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Клименко Е.С.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