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16.06.2022 с ходатайством о восстановлении срока на обжалование, обоснованным заблуждением в отношении срока подачи кассационной жалобы. В силу частей 1, 2 статьи 291.2 Арбитражного процессуального кодекса Российской Федерации (далее – Кодекс)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Названная заявителем причина несвоевременной подачи жалобы не носит объективного характера, поэтому не создает основания для восстановления срока. В связи с подачей документов в электронном виде жалоба и государственная пошлина с настоящим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«Автострада Юг» в восстановлении срока подачи кассационной жалобы на решение Арбитражного суда города Санкт-Петербурга и Ленинградской области от 14.07.2021 по делу № А56-1898/2021, постановление Тринадцатого арбитражного апелляционного суда от 12.10.2021 и постановление Арбитражного суда Северо-Западного округа от 14.02.2022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