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14.09.2021, оставленным без изменения постановлением Шестого арбитражного апелляционного суда от 13.12.2021 и постановлением Арбитражного суда Дальневосточного округа от 15.03.2022, взыскано 2 500 000 рублей задолженности и 1 074 000 рублей пеней за период 07.05.2019 по 08.09.2021. В кассационной жалобе предприятие просит об отмене судебных актов, ссылаясь на мнимость сделки и несоответствие выводов судов об оказании услуг фактическим обстоятельствам дела и представленным доказательствам.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двусторонние акты сдачи-приемки услуг и частичная оплата услуг исключает мнимость договора. Установленное судами оказание услуг влечет их оплату в силу 779, 781 Гражданского кодекса Российской Федерации. Вопрос о юридической силе договора решен в деле № А40-343368/2019 и согласно статье 69 Арбитражного процессуального кодекса Российской Федерации не подлежит исследованию вновь.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«Главное военно-строительное управление по специальным объектам»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