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09.08.2021, оставленным без изменения постановлением Седьмого арбитражного апелляционного суда от 21.10.2021, признана недействительной сделка по продаже квартиры должника от 20.12.2019, совершенная в исполнительном производстве; на покупателя квартиры – Сотникова Николая Евгеньевича возложена обязанность по перечислению в конкурсную массу 6 406 рублей 17 копеек. Постановлением Арбитражного суда Западно-Сибирского округа от 17.02.2022 определение и постановление апелляционного суда отменены, спор направлен на новое рассмотрение в суд первой инстанции. В кассационной жалобе Гюнтер А.Н. просит отменить постановление суда кассационной инстанции, ссылаясь на определение ненадлежащего лица, должного нести последствия недействительности. 2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нижестоящими судами норм права к исследованным обстоятельствам заключения сделки, поэтому признал необходимость нового рассмотрения спора в том числе для определения подлежащих применению последствий недействительности сделки. Обжалуемое постановление принято окружным судом в соответствии с полномочиями и пределами их осуществления, предусмотренными статьями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Гюнтер Анне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