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Пермского края от 01.10.2021 процедура реализации имущества должника завершена, должник не освобожден от исполнения обязательств. Постановлением Семнадцатого арбитражного апелляционного суда от 16.12.2021, оставленным без изменения и постановлением Арбитражного суда Уральского округа от 25.02.2022, определение от 01.10.2021 изменено в части, должник не освобожден от исполнения требований на общую сумму 2 068 500 рублей 99 копеек. В кассационной жалобе Пермякова Я.А. просит о пересмотре судебных актов, ссылаясь на неправильное определение размера несложенного требования и несоответствие вывода судов о недобросовестности обстоятельствам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основания возникновения спорного долга в силу пункта 4 статьи 213.28 Федерального закона от 26.10.2002 № 127-ФЗ «О несостоятельности (банкротстве)» не допускают освобождения от его погашения. Доводы, приведенные в кассационной жалобе, учтены судами и не создают оснований для пересмотра обжалуемых судебных актов в кассационном порядке Верховным Судом Российской Федерации. Руководствуясь статьями,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Пермяковой Яне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