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обратилась в суд с заявлением о признании недействительной сделкой соглашения от 23.03.2017 о расторжении договора залога оборудования от 05.08.2016 № 3012/З-1, заключенного между должником и обществом с ограниченной ответственностью «СпецФинЛизинг», и применении последствий недействительности сделки. В рамках рассмотрения данного обособленного спора общество «ЭнергоТЭК» обратилось в суд с заявлением о привлечении его к участию в рассмотрении обособленного спора в качестве третьего лица, заявляющего самостоятельные требования относительно предмета спора. Определением Арбитражного суда города Москвы от 04.02.2022, оставленным без изменения постановлением Девятого арбитражного апелляционного суда от 29.03.2022, отказано в удовлетворении ходатайства общества «ЭнергоТЭК». В кассационной жалобе, поданной в Верховный Суд Российской Федерации, заявитель просит отменить указанные судебные акты и принять новый судебный акт.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суд первой инстанции, руководствуясь положениями статьи 50 Арбитражного процессуального кодекса Российской Федерации, пришёл к выводу об отсутствии причин для удовлетворения ходатайства общества «ЭнергоТЭК» по заявленным основаниям. Апелляционный суд поддержал выводы суда первой инстанции.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«ЭнергоТЭК»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