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«Спецстрой» (далее – общество) обратилось в суд с заявлением о включении в состав третьей очереди реестра требований кредиторов должника (далее – реестр) задолженности в размере 77 044 756 рублей 72 копейки. Определением Арбитражного суда Самарской области от 02.09.2021, оставленным без изменения постановлениями Одиннадцатого арбитражного апелляционного суда от 08.12.2021 и Арбитражного суда Поволжского округа от 03.03.2022, требование общества признано обоснованным и подлежащим удовлетворению в очерёдности, предшествующей распределению ликвидационной квоты. В кассационных жалобах, поданных в Верховный Суд Российской Федерации, общество просит изменить названные судебные акты и включить заявленное им требование в состав третьей очереди реестра; Давыдов Ю.А. просит отменить названные судебные акты и направить дело на новое рассмотрение в арбитражный суд первой инстанции. Исходя из доводов кассационных жалоб, заявители не согласны с понижением очерёдности удовлетворения требования общества. Жалобы изучены в пределах изложенных в них доводов.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 в обжалуемой части, суды, руководствуясь статьями 19, 100, 142 Федерального закона от 26.10.2002 № 127-ФЗ «О несостоятельности (банкротстве)», Обзором судебной практики разрешения споров, связанных с установлением в процедурах банкротства требований контролирующих должника и аффилированных с ним лиц, утверждённым Президиумом Верховного Суда Российской Федерации 29.01.2020, установив обстоятельства заинтересованности должника и общества, предоставления последним в период нахождения должника в кризисной ситуации компенсационного финансирования, невостребованного на протяжении длительного времени (почти трёх лет), понизили очерёдность удовлетворения требования. Выводы судов в обжалуемой заявителями части соответствуют нормам права, оснований для переоценки выводов судов не имеется. Существенных нарушений норм материального и (или) процессуального права, которые бы повлияли на исход судебного разбирательства, судами не допущено. Приводимые в кассационных жалобах доводы заявителей являлись предметом изучения судов, получили надлежащую правовую оценку, отклонены как несостоятельные с подробным изложением мотивов отклонения.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«Спецстрой», Давыдову Юрию Алексеевичу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