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05.05.2021 в состав третьей очереди реестра включено требование в размере 6 954 507 рублей 75 копеек основной задолженности и процентов и 2 541 268 рублей 27 копеек пеней, подлежащих учету отдельно. Первый арбитражный апелляционный суд постановлением от 12.11.2021 заменил банк на общество с ограниченной ответственностью «Мещера-М» и оставил определение от 05.05.2021 без изменения. Арбитражный суд Волго-Вятского округа постановлением от 22.02.2022 постановление апелляционного суда от 12.11.2021 оставил без изменения. В кассационной жалобе Филоненко Т.В. просит об отмене судебных актов, ссылаясь на отсутствие у банка права на предъявление требования к должнику.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об отсутствии у банка права на предъявление требования к должнику рассмотрен и отклонен судами со ссылкой на пункт 23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Филоненко Т.В.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