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21.04.2021 иск удовлетворен. Постановлением Третьего арбитражного апелляционного суда от 17.11.2021 решение отменено и в удовлетворении иска отказано. Постановлением Арбитражного суда Восточно-Сибирского округа от 25.02.2022 постановление апелляционного суда от 17.11.2021 отменено, решение суда первой инстанции от 21.04.2021 оставлено в силе. В кассационной жалобе общество «Авто-Транс НН» просит об отмене решения и постановления окружного суда, ссылаясь на квалификацию правоотношений в противоречие с договором.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Применительно к содержанию спорных правоотношений сторон суд первой инстанции признал подлежащим применению общий срок исковой давности, предусмотренный статьей 196 Гражданского кодекса Российской Федерации. При отсутствии у суда апелляционной инстанции основания для иных выводов окружной суд отменил апелляционное постановление в соответствии с имеющейся в силу статей 286, 287 Арбитражного процессуального кодекса Российской Федерации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«Авто-Транс 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