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Десятого арбитражного апелляционного суда от 14.01.2022, оставленным без изменения постановлением Арбитражного суда Московского округа от 16.03.2022, производство по апелляционной жалобе банка на определение Арбитражного суда Московской области от 08.06.2020 прекращено применительно к пункту 1 части 1 статьи 150 Арбитражного процессуального кодекса Российской Федерации в связи с отказом в восстановлении срока на обжалование. В кассационной жалобе банк просит отменить судебные акты, принятые в отношении апелляционной жалобы, ссылаясь на непропуск срока на экстраординарное обжалование судебного акта.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пропуск срока подачи апелляционной жалобы с момента возникновения у банка права на экстраординарное обжалование судебного акта, оценив в соответствии с компетенцией приведенную причину пропуска.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АО «Тройка-Д Банк»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