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29.09.2021, оставленным без изменения постановлением Восемнадцатого арбитражного апелляционного суда от 18.11.2021 и постановлением Арбитражного суда Уральского округа от 21.02.2022, заявление удовлетворено. В кассационной жалобе Ахметов Р.Ф. просит об отмене судебных актов, ссылаясь на непривлечение к участию в деле созаемщика должника и неисследование оснований возникновения долга и залога.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в отношении задолженности и обращения взыскания на заложенное имущество судебных актов и в силу статей 71, 100 Федерального закона от 26.10.2002 № 127-ФЗ «О несостоятельности (банкротстве)»,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статьи 69 Арбитражного процессуального кодекса Российской Федерации признали требование соответствующим критериям для включения в реестр. Неучастие в деле созаемщика должника не влияет на обязательство должника, поэтому не может повлечь изменение судьбы судебных актов в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Ахметову Р.Ф.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