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25.06.2021, оставленным без изменения постановлением Девятого арбитражного апелляционного суда от 11.11.2021, исковые требования удовлетворены. Арбитражный суд Московского округа постановлением от 04.03.2022 отменил решение от 25.06.2021 и постановление апелляционного суда от 11.11.2021 и отказал в удовлетворении иска. В кассационной жалобе компания просит отменить постановление окружного суда, ссылаясь на игнорирование обязанности ответчика возместить вред в полном объеме.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правомерно указал, что в отношении вагонов имеются обязательственные отношения (лизинг), что исключает применение норм права об обязательствах вследствие причинения вреда (статьи 15, 1064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«Холдинговая компания «Новотранс»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