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конкурсный управляющий Государственная корпорация «Агентство по страхованию вкладов» (далее - конкурсный управляющий) обратилась в суд с заявлением о признании недействительными сделок по приобретению должником у заявителя 9,2% долей в уставном капитале должника, применении последствий недействительности сделок, в виде взыскания с заявителя денежных средств в размере 29 450 000 рублей и процентов за пользование чужими денежными средствами. Определением Арбитражного суда Самарской области от 29.09.2021 заявление удовлетворено, признаны недействительными сделки по приобретению должником у заявителя 9,2% долей в уставном капитале должника. Применены последствия недействительности сделок в виде взыскания с заявителя в пользу должника денежных средств в размере 29 450 000 рублей, восстановления за заявителем доли в размере 9,2% в уставном капитале должника. С заявителя взысканы проценты за пользование чужими денежными средствами в размере 3 489 656 рублей 2 75 копеек, а также проценты за пользование чужими денежными средствами, начисленные на сумму 29 450 000 рублей, начиная с 25.09.2021 по день фактического исполнения денежного обязательства. Постановлением Одиннадцатого арбитражного апелляционного суда от 29.11.2021 определение суда первой инстанции изменено в части применения последствий недействительности сделки, за Головачевым М.А. восстановлено право требования действительной стоимости доли в размере 9,2% в уставном капитале должника. Постановлением Арбитражного суда Поволжского округа от 25.02.2022 вышеуказанные судебные акты оставлены без изменения. В кассационной жалобе, поданной в Верховный Суд Российской Федерации, заявитель просит отменить оспариваемые судебные акты, ссылаясь на нарушение судами норм материального права, дело направить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пунктом 2 статьи 61.2 Федерального закона от 26.10.2002 № 127-ФЗ «О несостоятельности (банкротстве)», абзацем 4 пункта 8 статьи 23 Федерального закона от 08.02.1998 № 14-ФЗ «Об обществах с ограниченной ответственностью», пунктами 5, 6, 7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совокупности условий для признания недействительными оспариваемых сделок. Выводы судов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по доводам кассационной жалобы не установлено. Доводы заявителя были предметом рассмотрения судов, их выводы не опровергают, направлены на переоценку установленных по делу фактических обстоятельств, что не входит в компетенцию Судебной коллегии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3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Головачеву Михаилу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