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11.05.2021 в отношении должника завершено конкурсное производство. Не согласившись с названным определением суда в части отсутствия в нём указаний о выделении требований Акименко Р.Н. в отдельное производство Арбитражного суда Самарской области, с заменой должника на общество с ограниченной ответственностью «Нефтяной продукт» заявитель обратилась с апелляционной жалобой, одновременно заявив ходатайство о восстановлении пропущенного срока на её подачу. Определением Одиннадцатого арбитражного апелляционного суда от 13.01.2022, оставленным без изменения постановлением Арбитражного суда Поволжского округа от 30.03.2022,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вопрос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и подтверждая законность такого возврата, суды апелляционной инстанции и округа, руководствуясь статьями 113, 117, 184, 259, 264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пропуска заявителем процессуального срока на её подачу и отсутствия уважительных причин для его восстановления. Вторым основанием для возврата апелляционной жалобы послужил факт внесения на момент её подачи заявителем записи в ЕГРЮЛ о ликвидации должника, в силу чего определение о завершении конкурсного производства приобрело статус судебного акта, не подлежащего обжалованию.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Акименко Раисе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