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29.10.2021, оставленным без изменения постановлением Девятого арбитражного апелляционного суда от 26.01.2022 и постановлением Арбитражного суда Московского округа от 31.03 .2022, заявление удовлетворено. В кассационной жалобе компания просит об отмене судебных актов, ссылаясь на подконтрольность заявителя должнику и отсутствие доказательств задолженности.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обоснованным требование кредитора как подтвержденное надлежащими доказательствами и соответствующее статьям 71, 100 Федерального закона от 26.10.2002 № 127-ФЗ «О несостоятельности (банкротстве)». Доводы кассационной жалобы обосновывают позицию, не применимую в деле о банкротстве гражданина.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