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07.02.2022, оставленным без изменения постановлением Девятого арбитражного апелляционного суда от 22.03.2022, ходатайство финансового управляющего об истребовании доказательств удовлетворено. В кассационной жалобе банк просит о пересмотре судебных актов, ссылаясь на злоупотребления финансового управляющего, нарушение прав.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«Сити Инвест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