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Новгородской области от 16.06.2021, оставленным без изменения постановлением Четырнадцатого арбитражного апелляционного суда от 29.10.2021 и постановлением Арбитражного суда Северо-Западного округа от 22.03.2022, договор от 13.04.2019 признан недействительным, применены последствия недействительности сделки в виде взыскания с Метельковой Р.В. в конкурсную массу должника 516 925 рублей 83 копеек. В кассационной жалобе Метелькова Р.В. просит отменить судебные акты, ссылаясь на недоказанность законных условий недействительности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супругой должника общего имущества после введения в отношении должника процедуры реализации имущества гражданина, влекущую в силу пункта 5 статьи 213.11 Федерального закона от 26.10.2002 № 127-ФЗ «О несостоятельности (банкротстве)» недействительность сделки. Доводы, изложенные в кассационной жалобе, приводились при рассмотрении спора и им дана надлежащая оценка.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Метельковой Регине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