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Сладков Артем Евгеньевич (далее - конкурсный управляющий) обратился в суд с заявлением о разрешении разногласий относительно порядка погашения требования кредитора по текущим платежам, признании требований кредитора не подлежащими погашению в порядке, предусмотренном пунктом 6 статьи 138 Федерального закона от 26.10.2002 № 127-ФЗ «О несостоятельности (банкротстве)» (далее - Закон о банкротстве). Определением Арбитражного суда города Москвы от 14.09.2021 заявление удовлетворено частично. Текущие требования признаны не подлежащими погашению в порядке пункта 6 статьи 138 Закона о банкротстве и подлежащими удовлетворению в порядке, предшествующем распределению ликвидационной квоте. В определении очередности удовлетворения требований в размере расходов по уплате государственной пошлины в очередности, предшествующей распределению ликвидационной квоты, суд отказал. Постановлением Девятого арбитражного апелляционного суда от 09.12.2021 определение суда первой инстанции отменено в части 2 субординирования текущих требований кредитора. В остальной части определение суда первой инстанции оставлено без изменения. Постановлением Арбитражного суда Московского округа от 14.03.2022, названные судебные акты отменены, обособленный спор направлен на новое рассмотрение в суд первой инстанции. В кассационной жалобе, поданной в Верховный Суд Российской Федерации, заявитель просит отменить оспариваемые судебные акты, ссылаясь на нарушение судами норм материального права, в удовлетворении заявления конкурсного управляющего отказать.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таких оснований не установлено. Отменяя судебные акты и направляя спор на новое рассмотрение, суд округа, руководствуясь пунктами 1, 2, 6 статьи 138 Закона о банкротстве, исходил из того, что для квалификации подобных требований необходимо установить, связаны ли текущие расходы кредитора с обеспечением сохранности предмета залога (объекта недвижимости).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судебного акта, судом округа не допущено. При новом рассмотрении заявитель не лишен возможности изложить свои доводы и представить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«Реставрация-Н+»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