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Оренбургской области от 17.02.2022 дело передано для рассмотрения в Арбитражный суд города Москвы. Постановлением Восемнадцатого арбитражного апелляционного суда от 23.03.2022 определение от 17.02.2022 отменено, в удовлетворении ходатайства должника отказано. В кассационной жалобе Киселева Е.Н. просит об отмене постановления апелляционного суда, ссылаясь на отсутствие оценки ее доводов.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2 Апелляционный суд, установив, что смена адреса регистрации должника произведена формально в преддверии процедуры банкротства, признал отсутствие основания для передачи дела в другой арбитражный суд. Доводы кассационной жалобы не подтверждают нарушения норм права и не составляют оснований для пересмотра обжалуемых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Киселевой Елене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