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28.07.2021 в удовлетворении иска отказано. Второй арбитражный апелляционный суд постановлением от 13.10.2021 отменил решение от 28.07.2021 и удовлетворил иск в заявленном объеме. Арбитражный суд Волго-Вятского округа постановлением от 11 04.2022 отменил постановление апелляционного суда от 13.10.2021, оставив в силе решение от 28.07.2021. В кассационной жалобе общество «СТроительство-ЭлектроМонтаж» просит об отмене решения и постановления окружного суда, ссылаясь на 2 необоснованные выводы о повреждении груза в процессе перевозки и неправомерное применение сокращенного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повреждение груза произошло в процессе оказания транспортно-экспедиционных услуг, поэтому применил соответствующий правоотношениям срок исковой давности. При наличии в отношении груза обязательств, возникших из договора транспортно-экспедиционных услуг от 19.04.2018, нормы об обязательствах вследствие причинения вреда (статьи 15, 1064 Гражданского кодекса Российской Федерации) и соответствующий им срок исковой давности к отношениям сторон не применимы. У суда апелляционной инстанции отсутствовали основания для иной квалификации правоотношений, поэтому его постановление отменено окружным судом в соответствии с имеющейся компетенцией.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«СТроительство-ЭлектроМонтаж»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