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обратился в суд с заявлением о признании недействительными договоров цессии, заключенных между должником и обществом «Рифинг», между обществом «Рифинг» и обществом «Деев», по условиям которых к последнему перешло право требования денежных средств в размере 48 814 334 рубля 72 копейки по государственному контракту с государственного казённого учреждения Самарской области «Управление капитального строительства»; применении последствий недействительности сделок. Определением Арбитражного суда города Москвы от 05.07.2021, оставленным без изменения постановлениями Девятого арбитражного апелляционного суда от 22.11.2021 и Арбитражного суда Московского округа от 28.02.2022, заявление удовлетворено. В кассационных жалобах, поданных в Верховный Суд Российской Федерации, заявители просят отменить оспариваемые судебные акты, ссылаясь 2 на нарушение судами норм материального и процессуального права,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оценив представленные доказательства в порядке статьи 71 Арбитражного процессуального кодекса Российской Федерации, руководствуясь статьями 10, 168, 170 Гражданского кодекса Российской Федерации, пояснениями, изложенными в пункте 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 признании оспариваемых сделок недействительными.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Доводы заявителей, в том числе на судебную практику по другим делам основаны на ином толковании норм права, выводы судов не опровергают и направлены на переоценку установленных по делу фактических обстоятельств, что не входит в компетенцию Судебной коллегии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кассационных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общества «ЕСК» о приостановлении исполнения обжалуемых судебных актов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«Единая строительная компания» и акционерному обществу «Рифинг»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