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29.10.2021, оставленным без изменения постановлением Девятого арбитражного апелляционного суда от 26.01.2022 и постановлением Арбитражного суда Московского округа от 01.04.2022, заявление удовлетворено. В кассационной жалобе компания просит об отмене судебных актов, ссылаясь на аффилированность сторон и фактическую принадлежность заемных денежных средств должнику.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 требование кредитора как подтвержденное решением суда общей юрисдикции и соответствующее статьям 71, 100 Федерального закона от 26.10.2002 № 127-ФЗ «О несостоятельности (банкротстве)», статье 69 Арбитражного процессуального кодекса Российской Федерации. Приведенные в жалобе доводы рассмотрены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