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Хабаровского края от 19.05.2021, оставленным без изменения постановлением Шестого арбитражного апелляционного суда от 20.08.2021 и постановлением Арбитражного суда Дальневосточного округа от 24.02.2022, исковые требования удовлетворены. В кассационной жалобе АО «РЖД» просит отменить судебные акты, ссылаясь на надлежащее исполнение договора перевозки и ограниченность ответственности транспортным уставом.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Применение заявленной ответственности, основанной на статьях 15, 1064 Гражданского кодекса Российской Федерации, к АО «РЖД» допустимо в силу характера спорных правоотношений и судебного толкования указанных норм. Довод о надлежащем исполнении обязательств в отношении спорного груза опровергается установленными обстоятельствами.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