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Пермского края от 07.09.2021, оставленным без изменения постановлением Семнадцатого арбитражного апелляционного суда от 30.11.2021 и постановлением Арбитражного суда Уральского округа от 17.02.2022, заявление удовлетворено. В кассационной жалобе Гирев А.Н. просит об отмене судебных актов, ссылаясь на отсутствие вреда кредиторам, применение ненадлежащих последствий недействительности сделки и пропуск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мнимый характер сделки, влекущий в силу статей 10, 167, 168, 170, пункта 1 статьи 181 Гражданского кодекса Российской Федерации ее недействительность в пределах срока исковой давности для ничтожных сделок, соблюденного финансовым управляющим. В связи с невозможность возврата доли в конкурсную массу суды правомерно обязали возвратить ее стоимость, получение которой одаряемой установили.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Гиреву А.Н.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