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14.10.2021 (в редакции определения от 15.10.2021) с Шеставина В.В. на Тимошенко Н.М. переведены права и обязанности покупателя по договору купли-продажи от 11.09.2020 29АА № 1424324, с депозитного счета Арбитражного суда Архангельской области в пользу Шеставина В.В. перечислено 27 491 рубль 92 копейки в счет оплаты стоимости приобретенных прав в общей долевой собственности и возмещения расходов, понесенных покупателем. Четырнадцатый арбитражный апелляционный суд постановлением от 03.02.2022 изменил определение от 14.10.2021 в части возмещения Шеставину В.В. уплаченных сумм. Арбитражный суд Северо-Западного округа постановлением от 31.03.2022 постановление апелляционного суда от 03.02.2022 оставил без изменения. В кассационной жалобе Шеставин В.В. просит об отмене судебных актов, ссылаясь на неосновательное восстановление срока на реализацию права 2 преимущественной покупки и неприменении такового при продаже имущества с публичных торгов.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неизвещение финансовым управляющим заинтересованных лиц о продаже долей, поэтому восстановили срок реализации права преимущественной покупки, применяемой в случае продажи имущества банкрота, в силу статьи 250 Гражданского кодекса Российской Федерации и ее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Шеставину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