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28.01.2022, оставленным без изменения постановлением Десятого арбитражного апелляционного суда от 22.02.2022, дело № А41-87482/19 о несостоятельности (банкротстве) Кравченко А.А. передано по подсудности в Арбитражный суд Алтайского края. В кассационных жалобах заявители просят об отмене судебных актов, ссылаясь на нарушение принципов равноправия и состязательности недопущением представителя должника к участию в суде апелляционной инстанции и отсутствие основания для изменения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установлено. Суды установили манипулирование должника подсудностью с целью усложнения участия в деле о банкротстве независимых кредиторов, поэтому определили подсудность исходя из критериев статьи 39 Арбитражного процессуального кодекса Российской Федерации, пункта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пункта 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об банкротстве». Отсутствие технической возможности не является нарушением процессуальных прав должника на участие в заседании суда посредством веб-конференции.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Кравченко Александру Александровичу, Иванюку Сергею Михайловичу, закрытому акционерному обществу «Производственное объединение «ПромКотлоСнаб»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