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12.08.2021, оставленным без изменения постановлением Девятого арбитражного апелляционного суда от 19.10.2021 и постановлением Арбитражного суда Московского округа от 16.02.2022, процедура реализации имущества должника завершена, должник освобожден от дальнейшего исполнения требований кредиторов. В кассационной жалобе Тюрин М.В. просит об отмене судебных актов, ссылаясь на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Приведенные в жалобе доводы исследованы и учтены судами при принятии судебных актов и не составляют оснований для их кассационного пересмотра.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Тюрину Михаилу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