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04.06.2021, оставленным без изменения постановлением Тринадцатого арбитражного апелляционного суда от 11.10.2021 и постановлением Арбитражного суда Северо-Западного округа от 15.02.2022, в удовлетворении иска отказано. В кассационной жалобе, поданной в Верховный Суд Российской Федерации, компания, ссылаясь на нарушение судами норм права, просит отменить указанные судебные акты и принять новый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имеющиеся в материалах дела доказательства по правилам статьи 71 Арбитражного процессуального кодекса Российской Федерации, установив, что собственниками квартир спорного многоквартирного дома принято решение о переходе на прямые договоры с компанией, последняя надлежащим образом уведомлена о принятом решении, однако о новом сроке начала оказания услуг по прямым договорам ни товарищество, ни собственников квартир своевременно не известила, доказательств оказания услуг в заявленный период не представила, руководствуясь статьями 44, 157.2, 161 Жилищного кодекса Российской Федерации, суды первой и апелляционной инстанций пришли к выводу об отсутствии оснований для удовлетворения иска, с чем впоследствии согласился суд округа. Доводы кассационной жалобы были предметом рассмотрения судов и получили правовую оценку,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«Управляющая компания по обращению с отходами в Ленинградской области»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